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423" w:rsidRDefault="006F3423" w:rsidP="006F3423">
      <w:pPr>
        <w:tabs>
          <w:tab w:val="left" w:pos="630"/>
          <w:tab w:val="left" w:pos="7560"/>
          <w:tab w:val="left" w:pos="7740"/>
        </w:tabs>
        <w:spacing w:line="600" w:lineRule="exact"/>
        <w:rPr>
          <w:rFonts w:ascii="黑体" w:eastAsia="黑体" w:hAnsi="黑体" w:cs="黑体"/>
        </w:rPr>
      </w:pPr>
      <w:r>
        <w:rPr>
          <w:rFonts w:ascii="黑体" w:eastAsia="黑体" w:hAnsi="黑体" w:cs="黑体" w:hint="eastAsia"/>
        </w:rPr>
        <w:t>附件</w:t>
      </w:r>
      <w:r>
        <w:rPr>
          <w:rFonts w:ascii="黑体" w:eastAsia="黑体" w:hAnsi="黑体" w:cs="黑体"/>
        </w:rPr>
        <w:t>2</w:t>
      </w:r>
    </w:p>
    <w:p w:rsidR="006F3423" w:rsidRDefault="006F3423" w:rsidP="006F3423">
      <w:pPr>
        <w:tabs>
          <w:tab w:val="left" w:pos="630"/>
          <w:tab w:val="left" w:pos="7560"/>
          <w:tab w:val="left" w:pos="7740"/>
        </w:tabs>
        <w:spacing w:line="600" w:lineRule="exact"/>
        <w:jc w:val="center"/>
        <w:rPr>
          <w:rFonts w:ascii="方正小标宋简体" w:eastAsia="方正小标宋简体" w:hAnsi="仿宋" w:cs="宋体"/>
          <w:bCs/>
          <w:sz w:val="44"/>
          <w:szCs w:val="44"/>
        </w:rPr>
      </w:pPr>
      <w:r w:rsidRPr="00E73143">
        <w:rPr>
          <w:rFonts w:ascii="方正小标宋简体" w:eastAsia="方正小标宋简体" w:hAnsi="仿宋" w:cs="宋体" w:hint="eastAsia"/>
          <w:bCs/>
          <w:sz w:val="44"/>
          <w:szCs w:val="44"/>
        </w:rPr>
        <w:t>特殊贡献</w:t>
      </w:r>
      <w:proofErr w:type="gramStart"/>
      <w:r w:rsidRPr="00E73143">
        <w:rPr>
          <w:rFonts w:ascii="方正小标宋简体" w:eastAsia="方正小标宋简体" w:hAnsi="仿宋" w:cs="宋体" w:hint="eastAsia"/>
          <w:bCs/>
          <w:sz w:val="44"/>
          <w:szCs w:val="44"/>
        </w:rPr>
        <w:t>业绩赋分办法</w:t>
      </w:r>
      <w:proofErr w:type="gramEnd"/>
    </w:p>
    <w:p w:rsidR="006F3423" w:rsidRDefault="006F3423" w:rsidP="006F3423">
      <w:pPr>
        <w:tabs>
          <w:tab w:val="left" w:pos="630"/>
          <w:tab w:val="left" w:pos="7560"/>
          <w:tab w:val="left" w:pos="7740"/>
        </w:tabs>
        <w:spacing w:line="600" w:lineRule="exact"/>
        <w:jc w:val="center"/>
        <w:rPr>
          <w:rFonts w:ascii="方正小标宋简体" w:eastAsia="方正小标宋简体" w:hAnsi="仿宋" w:cs="宋体" w:hint="eastAsia"/>
          <w:bCs/>
          <w:sz w:val="44"/>
          <w:szCs w:val="44"/>
        </w:rPr>
      </w:pPr>
    </w:p>
    <w:p w:rsidR="006F3423" w:rsidRPr="006E2E29" w:rsidRDefault="006F3423" w:rsidP="006F3423">
      <w:pPr>
        <w:spacing w:line="600" w:lineRule="exact"/>
        <w:ind w:firstLineChars="200" w:firstLine="632"/>
        <w:rPr>
          <w:rFonts w:ascii="黑体" w:eastAsia="黑体" w:hAnsi="黑体" w:cs="黑体"/>
          <w:szCs w:val="32"/>
        </w:rPr>
      </w:pPr>
      <w:r w:rsidRPr="006E2E29">
        <w:rPr>
          <w:rFonts w:ascii="黑体" w:eastAsia="黑体" w:hAnsi="黑体" w:cs="黑体"/>
          <w:szCs w:val="32"/>
        </w:rPr>
        <w:t>一、教学科研业绩</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所有教学科研业绩参照学校人文社科处、科研处、教务处等部门相关文件进行赋分，不在学校人文社科处或科研</w:t>
      </w:r>
      <w:proofErr w:type="gramStart"/>
      <w:r w:rsidRPr="00E73143">
        <w:rPr>
          <w:rFonts w:ascii="仿宋_GB2312" w:eastAsia="仿宋_GB2312" w:hAnsi="仿宋"/>
          <w:szCs w:val="32"/>
        </w:rPr>
        <w:t>处相关</w:t>
      </w:r>
      <w:proofErr w:type="gramEnd"/>
      <w:r w:rsidRPr="00E73143">
        <w:rPr>
          <w:rFonts w:ascii="仿宋_GB2312" w:eastAsia="仿宋_GB2312" w:hAnsi="仿宋"/>
          <w:szCs w:val="32"/>
        </w:rPr>
        <w:t>文件规定范围的科研内容不予赋分。</w:t>
      </w:r>
    </w:p>
    <w:p w:rsidR="006F3423" w:rsidRPr="00E73143" w:rsidRDefault="006F3423" w:rsidP="006F3423">
      <w:pPr>
        <w:spacing w:line="600" w:lineRule="exact"/>
        <w:ind w:firstLineChars="200" w:firstLine="632"/>
        <w:rPr>
          <w:rFonts w:ascii="仿宋_GB2312" w:eastAsia="仿宋_GB2312" w:hAnsi="仿宋"/>
          <w:szCs w:val="32"/>
        </w:rPr>
      </w:pPr>
      <w:r w:rsidRPr="006E2E29">
        <w:rPr>
          <w:rFonts w:ascii="黑体" w:eastAsia="黑体" w:hAnsi="黑体" w:cs="黑体"/>
          <w:szCs w:val="32"/>
        </w:rPr>
        <w:t>二、创收创新业绩</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固定创收项目当年实际到账可分配金额大于前三年的年度最高实际到账可分配金额时，根据增量值对创收团队进行业绩分奖励，增量值每1万元奖励400分。非固定创收项目的实际到账可分配金额视作当年增量值，非固定创收项目连续3年稳定后转为固定创收项目。创新项目立项申报评审时确定分值，</w:t>
      </w:r>
      <w:proofErr w:type="gramStart"/>
      <w:r w:rsidRPr="00E73143">
        <w:rPr>
          <w:rFonts w:ascii="仿宋_GB2312" w:eastAsia="仿宋_GB2312" w:hAnsi="仿宋"/>
          <w:szCs w:val="32"/>
        </w:rPr>
        <w:t>结项后</w:t>
      </w:r>
      <w:proofErr w:type="gramEnd"/>
      <w:r w:rsidRPr="00E73143">
        <w:rPr>
          <w:rFonts w:ascii="仿宋_GB2312" w:eastAsia="仿宋_GB2312" w:hAnsi="仿宋"/>
          <w:szCs w:val="32"/>
        </w:rPr>
        <w:t>可获得所定分值。</w:t>
      </w:r>
    </w:p>
    <w:p w:rsidR="006F3423" w:rsidRPr="00E73143" w:rsidRDefault="006F3423" w:rsidP="006F3423">
      <w:pPr>
        <w:spacing w:line="600" w:lineRule="exact"/>
        <w:ind w:firstLineChars="200" w:firstLine="632"/>
        <w:rPr>
          <w:rFonts w:ascii="仿宋_GB2312" w:eastAsia="仿宋_GB2312" w:hAnsi="仿宋"/>
          <w:szCs w:val="32"/>
        </w:rPr>
      </w:pPr>
      <w:r w:rsidRPr="006E2E29">
        <w:rPr>
          <w:rFonts w:ascii="黑体" w:eastAsia="黑体" w:hAnsi="黑体" w:cs="黑体"/>
          <w:szCs w:val="32"/>
        </w:rPr>
        <w:t>三．宣传奖励业绩</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1.新闻与宣传片</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新闻同时存在文字和图片内容</w:t>
      </w:r>
      <w:r>
        <w:rPr>
          <w:rFonts w:ascii="仿宋_GB2312" w:eastAsia="仿宋_GB2312" w:hAnsi="仿宋" w:hint="eastAsia"/>
          <w:szCs w:val="32"/>
        </w:rPr>
        <w:t>时</w:t>
      </w:r>
      <w:r w:rsidRPr="00E73143">
        <w:rPr>
          <w:rFonts w:ascii="仿宋_GB2312" w:eastAsia="仿宋_GB2312" w:hAnsi="仿宋"/>
          <w:szCs w:val="32"/>
        </w:rPr>
        <w:t>，分值按4:1分配。在中心网站上发布新闻每条5分，在学校网站发布新闻每条15分，被校外官方媒体转发每条30分，同一条新闻在不同媒体发布按照</w:t>
      </w:r>
      <w:r w:rsidRPr="00E73143">
        <w:rPr>
          <w:rFonts w:ascii="仿宋_GB2312" w:eastAsia="仿宋_GB2312" w:hAnsi="仿宋"/>
          <w:szCs w:val="32"/>
        </w:rPr>
        <w:t>“</w:t>
      </w:r>
      <w:r w:rsidRPr="00E73143">
        <w:rPr>
          <w:rFonts w:ascii="仿宋_GB2312" w:eastAsia="仿宋_GB2312" w:hAnsi="仿宋"/>
          <w:szCs w:val="32"/>
        </w:rPr>
        <w:t>就高不重复</w:t>
      </w:r>
      <w:r w:rsidRPr="00E73143">
        <w:rPr>
          <w:rFonts w:ascii="仿宋_GB2312" w:eastAsia="仿宋_GB2312" w:hAnsi="仿宋"/>
          <w:szCs w:val="32"/>
        </w:rPr>
        <w:t>”</w:t>
      </w:r>
      <w:r w:rsidRPr="00E73143">
        <w:rPr>
          <w:rFonts w:ascii="仿宋_GB2312" w:eastAsia="仿宋_GB2312" w:hAnsi="仿宋"/>
          <w:szCs w:val="32"/>
        </w:rPr>
        <w:t>原则计算。</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制作校级宣传片并获得宣传部认可发布，每部宣传片按400</w:t>
      </w:r>
      <w:r w:rsidRPr="00E73143">
        <w:rPr>
          <w:rFonts w:ascii="仿宋_GB2312" w:eastAsia="仿宋_GB2312" w:hAnsi="仿宋"/>
          <w:szCs w:val="32"/>
        </w:rPr>
        <w:lastRenderedPageBreak/>
        <w:t>分计算，制作中心宣传片并获得中心认可发布，每部宣传片按200分计算。制作的各类宣传片被</w:t>
      </w:r>
      <w:proofErr w:type="gramStart"/>
      <w:r w:rsidRPr="00E73143">
        <w:rPr>
          <w:rFonts w:ascii="仿宋_GB2312" w:eastAsia="仿宋_GB2312" w:hAnsi="仿宋"/>
          <w:szCs w:val="32"/>
        </w:rPr>
        <w:t>校外官媒选用</w:t>
      </w:r>
      <w:proofErr w:type="gramEnd"/>
      <w:r w:rsidRPr="00E73143">
        <w:rPr>
          <w:rFonts w:ascii="仿宋_GB2312" w:eastAsia="仿宋_GB2312" w:hAnsi="仿宋"/>
          <w:szCs w:val="32"/>
        </w:rPr>
        <w:t>，按市厅级媒体150分、省部级媒体200分、国家级媒体400分计算，选用分值不影响上述校内分值计算。</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2.</w:t>
      </w:r>
      <w:proofErr w:type="gramStart"/>
      <w:r w:rsidRPr="00E73143">
        <w:rPr>
          <w:rFonts w:ascii="仿宋_GB2312" w:eastAsia="仿宋_GB2312" w:hAnsi="仿宋"/>
          <w:szCs w:val="32"/>
        </w:rPr>
        <w:t>微信公众号</w:t>
      </w:r>
      <w:proofErr w:type="gramEnd"/>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在中心</w:t>
      </w:r>
      <w:proofErr w:type="gramStart"/>
      <w:r w:rsidRPr="00E73143">
        <w:rPr>
          <w:rFonts w:ascii="仿宋_GB2312" w:eastAsia="仿宋_GB2312" w:hAnsi="仿宋"/>
          <w:szCs w:val="32"/>
        </w:rPr>
        <w:t>微信公众号</w:t>
      </w:r>
      <w:proofErr w:type="gramEnd"/>
      <w:r w:rsidRPr="00E73143">
        <w:rPr>
          <w:rFonts w:ascii="仿宋_GB2312" w:eastAsia="仿宋_GB2312" w:hAnsi="仿宋"/>
          <w:szCs w:val="32"/>
        </w:rPr>
        <w:t>“</w:t>
      </w:r>
      <w:r w:rsidRPr="00E73143">
        <w:rPr>
          <w:rFonts w:ascii="仿宋_GB2312" w:eastAsia="仿宋_GB2312" w:hAnsi="仿宋"/>
          <w:szCs w:val="32"/>
        </w:rPr>
        <w:t>智慧通大</w:t>
      </w:r>
      <w:r w:rsidRPr="00E73143">
        <w:rPr>
          <w:rFonts w:ascii="仿宋_GB2312" w:eastAsia="仿宋_GB2312" w:hAnsi="仿宋"/>
          <w:szCs w:val="32"/>
        </w:rPr>
        <w:t>”</w:t>
      </w:r>
      <w:r w:rsidRPr="00E73143">
        <w:rPr>
          <w:rFonts w:ascii="仿宋_GB2312" w:eastAsia="仿宋_GB2312" w:hAnsi="仿宋"/>
          <w:szCs w:val="32"/>
        </w:rPr>
        <w:t>上推送信息阅读量达到及超过1000次，按每条5分计算业绩分，且每增加1000次阅读量，业绩分值增加1倍，封顶4倍。素材提供与素材编辑的分值按4:1分配。</w:t>
      </w:r>
    </w:p>
    <w:p w:rsidR="006F3423" w:rsidRPr="006E2E29" w:rsidRDefault="006F3423" w:rsidP="006F3423">
      <w:pPr>
        <w:spacing w:line="600" w:lineRule="exact"/>
        <w:ind w:firstLineChars="200" w:firstLine="632"/>
        <w:rPr>
          <w:rFonts w:ascii="黑体" w:eastAsia="黑体" w:hAnsi="黑体" w:cs="黑体"/>
          <w:szCs w:val="32"/>
        </w:rPr>
      </w:pPr>
      <w:r w:rsidRPr="006E2E29">
        <w:rPr>
          <w:rFonts w:ascii="黑体" w:eastAsia="黑体" w:hAnsi="黑体" w:cs="黑体"/>
          <w:szCs w:val="32"/>
        </w:rPr>
        <w:t>四、相关说明</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1.以上成果及级别认定以南通大学最新发布的科研成果认定通知为标准。</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2.科研项目业绩分在项目</w:t>
      </w:r>
      <w:proofErr w:type="gramStart"/>
      <w:r w:rsidRPr="00E73143">
        <w:rPr>
          <w:rFonts w:ascii="仿宋_GB2312" w:eastAsia="仿宋_GB2312" w:hAnsi="仿宋"/>
          <w:szCs w:val="32"/>
        </w:rPr>
        <w:t>结项当年</w:t>
      </w:r>
      <w:proofErr w:type="gramEnd"/>
      <w:r w:rsidRPr="00E73143">
        <w:rPr>
          <w:rFonts w:ascii="仿宋_GB2312" w:eastAsia="仿宋_GB2312" w:hAnsi="仿宋"/>
          <w:szCs w:val="32"/>
        </w:rPr>
        <w:t>计算，同一项目或成果不重复计算业绩分。</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3.由中心职工</w:t>
      </w:r>
      <w:r>
        <w:rPr>
          <w:rFonts w:ascii="仿宋_GB2312" w:eastAsia="仿宋_GB2312" w:hAnsi="仿宋" w:hint="eastAsia"/>
          <w:szCs w:val="32"/>
        </w:rPr>
        <w:t>牵头</w:t>
      </w:r>
      <w:r w:rsidRPr="00E73143">
        <w:rPr>
          <w:rFonts w:ascii="仿宋_GB2312" w:eastAsia="仿宋_GB2312" w:hAnsi="仿宋"/>
          <w:szCs w:val="32"/>
        </w:rPr>
        <w:t>的多人合作成果，业绩分由第一完成人分配。中心职工作为参与的成果业绩分计算按照所在排名顺序拆分业绩分。具体拆分办法为：排名顺序为第二、第三、第四</w:t>
      </w:r>
      <w:r w:rsidRPr="00E73143">
        <w:rPr>
          <w:rFonts w:ascii="仿宋_GB2312" w:eastAsia="仿宋_GB2312" w:hAnsi="仿宋"/>
          <w:szCs w:val="32"/>
        </w:rPr>
        <w:t>……</w:t>
      </w:r>
      <w:r w:rsidRPr="00E73143">
        <w:rPr>
          <w:rFonts w:ascii="仿宋_GB2312" w:eastAsia="仿宋_GB2312" w:hAnsi="仿宋"/>
          <w:szCs w:val="32"/>
        </w:rPr>
        <w:t>，业绩</w:t>
      </w:r>
      <w:proofErr w:type="gramStart"/>
      <w:r w:rsidRPr="00E73143">
        <w:rPr>
          <w:rFonts w:ascii="仿宋_GB2312" w:eastAsia="仿宋_GB2312" w:hAnsi="仿宋"/>
          <w:szCs w:val="32"/>
        </w:rPr>
        <w:t>分按照</w:t>
      </w:r>
      <w:proofErr w:type="gramEnd"/>
      <w:r w:rsidRPr="00E73143">
        <w:rPr>
          <w:rFonts w:ascii="仿宋_GB2312" w:eastAsia="仿宋_GB2312" w:hAnsi="仿宋"/>
          <w:szCs w:val="32"/>
        </w:rPr>
        <w:t>个人作为第一完成人业绩分标准的1/2、1/3、1/4</w:t>
      </w:r>
      <w:r w:rsidRPr="00E73143">
        <w:rPr>
          <w:rFonts w:ascii="仿宋_GB2312" w:eastAsia="仿宋_GB2312" w:hAnsi="仿宋"/>
          <w:szCs w:val="32"/>
        </w:rPr>
        <w:t>……</w:t>
      </w:r>
      <w:r w:rsidRPr="00E73143">
        <w:rPr>
          <w:rFonts w:ascii="仿宋_GB2312" w:eastAsia="仿宋_GB2312" w:hAnsi="仿宋"/>
          <w:szCs w:val="32"/>
        </w:rPr>
        <w:t>折算，依此递减。划拨给排名最靠前者，由其再分配。项目排名前5位视为有效。</w:t>
      </w:r>
    </w:p>
    <w:p w:rsidR="006F3423" w:rsidRPr="00E73143" w:rsidRDefault="006F3423" w:rsidP="006F3423">
      <w:pPr>
        <w:spacing w:line="600" w:lineRule="exact"/>
        <w:ind w:firstLineChars="200" w:firstLine="632"/>
        <w:rPr>
          <w:rFonts w:ascii="仿宋_GB2312" w:eastAsia="仿宋_GB2312" w:hAnsi="仿宋"/>
          <w:szCs w:val="32"/>
        </w:rPr>
      </w:pPr>
      <w:r w:rsidRPr="00E73143">
        <w:rPr>
          <w:rFonts w:ascii="仿宋_GB2312" w:eastAsia="仿宋_GB2312" w:hAnsi="仿宋"/>
          <w:szCs w:val="32"/>
        </w:rPr>
        <w:t>4.本办法中科研项目、科研成果、科研获奖等必须以南通大</w:t>
      </w:r>
      <w:r w:rsidRPr="00E73143">
        <w:rPr>
          <w:rFonts w:ascii="仿宋_GB2312" w:eastAsia="仿宋_GB2312" w:hAnsi="仿宋"/>
          <w:szCs w:val="32"/>
        </w:rPr>
        <w:lastRenderedPageBreak/>
        <w:t>学或南通大学信息化中心为第一署名单位，与信息化中心业务相关，否则不计业绩分。</w:t>
      </w:r>
    </w:p>
    <w:p w:rsidR="006F3423" w:rsidRDefault="006F3423" w:rsidP="006F3423">
      <w:pPr>
        <w:spacing w:line="600" w:lineRule="exact"/>
        <w:ind w:firstLineChars="200" w:firstLine="632"/>
        <w:rPr>
          <w:rFonts w:ascii="黑体" w:eastAsia="黑体" w:hint="eastAsia"/>
        </w:rPr>
        <w:sectPr w:rsidR="006F3423" w:rsidSect="009B0A18">
          <w:footerReference w:type="even" r:id="rId4"/>
          <w:footerReference w:type="default" r:id="rId5"/>
          <w:pgSz w:w="11906" w:h="16838" w:code="9"/>
          <w:pgMar w:top="2098" w:right="1474" w:bottom="1985" w:left="1588" w:header="851" w:footer="1134" w:gutter="0"/>
          <w:cols w:space="425"/>
          <w:titlePg/>
          <w:docGrid w:type="linesAndChars" w:linePitch="579" w:charSpace="-849"/>
        </w:sectPr>
      </w:pPr>
      <w:r w:rsidRPr="00E73143">
        <w:rPr>
          <w:rFonts w:ascii="仿宋_GB2312" w:eastAsia="仿宋_GB2312" w:hAnsi="仿宋"/>
          <w:szCs w:val="32"/>
        </w:rPr>
        <w:t>5.违反《南通大学科研诚信与信用管理暂行办法》的个人或</w:t>
      </w:r>
      <w:r>
        <w:rPr>
          <w:rFonts w:ascii="仿宋_GB2312" w:eastAsia="仿宋_GB2312" w:hAnsi="仿宋" w:hint="eastAsia"/>
          <w:szCs w:val="32"/>
        </w:rPr>
        <w:t>项目</w:t>
      </w:r>
      <w:r w:rsidRPr="00E73143">
        <w:rPr>
          <w:rFonts w:ascii="仿宋_GB2312" w:eastAsia="仿宋_GB2312" w:hAnsi="仿宋"/>
          <w:szCs w:val="32"/>
        </w:rPr>
        <w:t>，中心不予奖励</w:t>
      </w:r>
      <w:r>
        <w:rPr>
          <w:rFonts w:ascii="仿宋_GB2312" w:eastAsia="仿宋_GB2312" w:hAnsi="仿宋" w:hint="eastAsia"/>
          <w:szCs w:val="32"/>
        </w:rPr>
        <w:t>，已发出的奖励予以收回。</w:t>
      </w:r>
    </w:p>
    <w:p w:rsidR="001149F4" w:rsidRPr="006F3423" w:rsidRDefault="001149F4">
      <w:bookmarkStart w:id="0" w:name="_GoBack"/>
      <w:bookmarkEnd w:id="0"/>
    </w:p>
    <w:sectPr w:rsidR="001149F4" w:rsidRPr="006F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C3E" w:rsidRDefault="006F3423" w:rsidP="00577A58">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3B4C3E" w:rsidRDefault="006F3423" w:rsidP="0055073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C3E" w:rsidRDefault="006F3423" w:rsidP="00577A58">
    <w:pPr>
      <w:pStyle w:val="a3"/>
      <w:framePr w:wrap="around" w:vAnchor="text" w:hAnchor="margin" w:xAlign="outside" w:y="1"/>
      <w:rPr>
        <w:rStyle w:val="a5"/>
      </w:rPr>
    </w:pPr>
    <w:r w:rsidRPr="00550732">
      <w:rPr>
        <w:rFonts w:ascii="宋体" w:hAnsi="宋体"/>
        <w:kern w:val="0"/>
        <w:sz w:val="28"/>
        <w:szCs w:val="28"/>
      </w:rPr>
      <w:t xml:space="preserve">- </w:t>
    </w:r>
    <w:r w:rsidRPr="00550732">
      <w:rPr>
        <w:rFonts w:ascii="Times New Roman" w:hAnsi="Times New Roman"/>
        <w:kern w:val="0"/>
        <w:sz w:val="28"/>
        <w:szCs w:val="28"/>
      </w:rPr>
      <w:fldChar w:fldCharType="begin"/>
    </w:r>
    <w:r w:rsidRPr="00550732">
      <w:rPr>
        <w:rFonts w:ascii="Times New Roman" w:hAnsi="Times New Roman"/>
        <w:kern w:val="0"/>
        <w:sz w:val="28"/>
        <w:szCs w:val="28"/>
      </w:rPr>
      <w:instrText xml:space="preserve"> PAGE </w:instrText>
    </w:r>
    <w:r w:rsidRPr="00550732">
      <w:rPr>
        <w:rFonts w:ascii="Times New Roman" w:hAnsi="Times New Roman"/>
        <w:kern w:val="0"/>
        <w:sz w:val="28"/>
        <w:szCs w:val="28"/>
      </w:rPr>
      <w:fldChar w:fldCharType="separate"/>
    </w:r>
    <w:r>
      <w:rPr>
        <w:rFonts w:ascii="Times New Roman" w:hAnsi="Times New Roman"/>
        <w:noProof/>
        <w:kern w:val="0"/>
        <w:sz w:val="28"/>
        <w:szCs w:val="28"/>
      </w:rPr>
      <w:t>2</w:t>
    </w:r>
    <w:r w:rsidRPr="00550732">
      <w:rPr>
        <w:rFonts w:ascii="Times New Roman" w:hAnsi="Times New Roman"/>
        <w:kern w:val="0"/>
        <w:sz w:val="28"/>
        <w:szCs w:val="28"/>
      </w:rPr>
      <w:fldChar w:fldCharType="end"/>
    </w:r>
    <w:r w:rsidRPr="00550732">
      <w:rPr>
        <w:rFonts w:ascii="宋体" w:hAnsi="宋体"/>
        <w:kern w:val="0"/>
        <w:sz w:val="28"/>
        <w:szCs w:val="28"/>
      </w:rPr>
      <w:t xml:space="preserve"> -</w:t>
    </w:r>
  </w:p>
  <w:p w:rsidR="003B4C3E" w:rsidRPr="00550732" w:rsidRDefault="006F3423" w:rsidP="00550732">
    <w:pPr>
      <w:pStyle w:val="a3"/>
      <w:ind w:right="360" w:firstLine="360"/>
      <w:rPr>
        <w:rFonts w:ascii="宋体" w:hAnsi="宋体" w:hint="eastAsia"/>
        <w:sz w:val="28"/>
        <w:szCs w:val="28"/>
      </w:rPr>
    </w:pPr>
    <w:r w:rsidRPr="00550732">
      <w:rPr>
        <w:rFonts w:ascii="宋体" w:hAnsi="宋体" w:hint="eastAsia"/>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23"/>
    <w:rsid w:val="001149F4"/>
    <w:rsid w:val="006F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0349-D543-404B-87E5-932D28B1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423"/>
    <w:pPr>
      <w:widowControl w:val="0"/>
      <w:jc w:val="both"/>
    </w:pPr>
    <w:rPr>
      <w:rFonts w:ascii="Garamond" w:eastAsia="宋体" w:hAnsi="Garamond"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3423"/>
    <w:pPr>
      <w:tabs>
        <w:tab w:val="center" w:pos="4153"/>
        <w:tab w:val="right" w:pos="8306"/>
      </w:tabs>
      <w:snapToGrid w:val="0"/>
      <w:jc w:val="left"/>
    </w:pPr>
    <w:rPr>
      <w:sz w:val="18"/>
      <w:szCs w:val="18"/>
    </w:rPr>
  </w:style>
  <w:style w:type="character" w:customStyle="1" w:styleId="a4">
    <w:name w:val="页脚 字符"/>
    <w:basedOn w:val="a0"/>
    <w:link w:val="a3"/>
    <w:rsid w:val="006F3423"/>
    <w:rPr>
      <w:rFonts w:ascii="Garamond" w:eastAsia="宋体" w:hAnsi="Garamond" w:cs="Times New Roman"/>
      <w:sz w:val="18"/>
      <w:szCs w:val="18"/>
    </w:rPr>
  </w:style>
  <w:style w:type="character" w:styleId="a5">
    <w:name w:val="page number"/>
    <w:basedOn w:val="a0"/>
    <w:rsid w:val="006F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2024-11-28T01:21:00Z</dcterms:created>
  <dcterms:modified xsi:type="dcterms:W3CDTF">2024-11-28T01:22:00Z</dcterms:modified>
</cp:coreProperties>
</file>